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/>
          <w:b/>
          <w:color w:val="FF0000"/>
          <w:w w:val="50"/>
          <w:kern w:val="0"/>
          <w:sz w:val="104"/>
          <w:szCs w:val="104"/>
        </w:rPr>
        <w:t>江苏苏讯新材料科技有限公司</w:t>
      </w:r>
      <w:r>
        <w:rPr>
          <w:rFonts w:hint="eastAsia"/>
          <w:b/>
          <w:color w:val="FF0000"/>
          <w:w w:val="50"/>
          <w:kern w:val="0"/>
          <w:sz w:val="104"/>
          <w:szCs w:val="104"/>
          <w:lang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苏讯新材发</w:t>
      </w:r>
      <w:r>
        <w:rPr>
          <w:rFonts w:hint="eastAsia" w:ascii="仿宋_GB2312" w:eastAsia="仿宋_GB2312"/>
          <w:sz w:val="32"/>
          <w:szCs w:val="32"/>
        </w:rPr>
        <w:t>【20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】0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sz w:val="32"/>
          <w:szCs w:val="32"/>
        </w:rPr>
        <w:t xml:space="preserve">号    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32385</wp:posOffset>
                </wp:positionV>
                <wp:extent cx="5682615" cy="0"/>
                <wp:effectExtent l="0" t="10795" r="13335" b="1778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10.5pt;margin-top:2.55pt;height:0pt;width:447.45pt;z-index:251659264;mso-width-relative:page;mso-height-relative:page;" filled="f" stroked="t" coordsize="21600,21600" o:gfxdata="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UJUOT1QAAAAYBAAAPAAAAAAAAAAEAIAAA&#10;ACIAAABkcnMvZG93bnJldi54bWxQSwECFAAUAAAACACHTuJAetkhddYBAACzAwAADgAAAAAAAAAB&#10;ACAAAAAkAQAAZHJzL2Uyb0RvYy54bWxQSwUGAAAAAAYABgBZAQAAbAUAAAAA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Hans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Hans"/>
        </w:rPr>
        <w:t>关于启动卓越绩效管理模式的通知</w:t>
      </w: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Hans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Hans"/>
        </w:rPr>
        <w:t>直属各部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Hans"/>
        </w:rPr>
        <w:t>：</w:t>
      </w:r>
    </w:p>
    <w:p>
      <w:pPr>
        <w:widowControl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为了提高公司综合管理水平，整合优化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公司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供应链管理和推进卓越绩效管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Hans"/>
        </w:rPr>
        <w:t>理，建立卓越的企业文化、经营理念，打造高效的学习型组织，对标世界一流企业等工作。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经研究决定，特成立卓越绩效管理模式推行小组。</w:t>
      </w:r>
    </w:p>
    <w:p>
      <w:pPr>
        <w:widowControl/>
        <w:jc w:val="left"/>
        <w:rPr>
          <w:rFonts w:hint="default" w:ascii="黑体" w:hAnsi="宋体" w:eastAsia="黑体" w:cs="黑体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一、指导思想</w:t>
      </w:r>
    </w:p>
    <w:p>
      <w:pPr>
        <w:widowControl/>
        <w:ind w:firstLine="62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本次卓越绩效管理模式由201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8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03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日正式启动，</w:t>
      </w:r>
    </w:p>
    <w:p>
      <w:pPr>
        <w:widowControl/>
        <w:jc w:val="both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</w:rPr>
        <w:t>公司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以“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卓越绩效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管理”为主题，全面推行“卓越绩效管理”模式，以自评为手段，以问题为导向，以短板为突破口，牢牢把握管理创新这一主线，着力在思维转换上下功夫，着力在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坐实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管理上下功夫，着力在创新驱动上下功夫，持续提升公司管理水平和综合竞争能力，为打造“新思维、新动力、新形象”的目标不断努力。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二、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组织机构及职责 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</w:pPr>
      <w:r>
        <w:rPr>
          <w:rFonts w:ascii="楷体" w:hAnsi="楷体" w:eastAsia="楷体" w:cs="楷体"/>
          <w:color w:val="000000"/>
          <w:kern w:val="0"/>
          <w:sz w:val="31"/>
          <w:szCs w:val="31"/>
        </w:rPr>
        <w:t>（一）成立“卓越绩效管理”领导小组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组长：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李龙来总经理、董事长</w:t>
      </w:r>
    </w:p>
    <w:p>
      <w:pPr>
        <w:widowControl/>
        <w:jc w:val="left"/>
        <w:rPr>
          <w:rFonts w:hint="default" w:eastAsia="仿宋_GB2312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副组长：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王松月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综合管理部经理</w:t>
      </w:r>
    </w:p>
    <w:p>
      <w:pPr>
        <w:widowControl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成员：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华文明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生产部经理、樊迎新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供销部经理、圣庆 国贸部 经理、华静 财务经理、文志强 品控部经理、程伟 设备部经理</w:t>
      </w:r>
    </w:p>
    <w:p>
      <w:pPr>
        <w:widowControl/>
        <w:jc w:val="left"/>
        <w:rPr>
          <w:rFonts w:hint="eastAsia" w:ascii="楷体" w:hAnsi="楷体" w:eastAsia="楷体" w:cs="楷体"/>
          <w:color w:val="000000"/>
          <w:kern w:val="0"/>
          <w:sz w:val="31"/>
          <w:szCs w:val="31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eastAsia="zh-CN"/>
        </w:rPr>
        <w:t>（二）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 xml:space="preserve">“卓越绩效管理”领导小组职责： </w:t>
      </w:r>
    </w:p>
    <w:p>
      <w:pPr>
        <w:widowControl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1．全面领导公司卓越绩效管理工作，负责引导质量管理理念理念，定位“卓越绩效”框架，确定卓越绩效管理思路，决策卓越绩效管理方案，指导卓越绩效管理运行。 </w:t>
      </w:r>
    </w:p>
    <w:p>
      <w:pPr>
        <w:widowControl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2．定期召开工作领导小组会议，听取公司卓越绩效管理导入工作进展情况。 </w:t>
      </w:r>
    </w:p>
    <w:p>
      <w:pPr>
        <w:widowControl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3．研究决定卓越绩效管理导入工作的考核激励事项。</w:t>
      </w:r>
    </w:p>
    <w:p>
      <w:pPr>
        <w:widowControl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eastAsia="zh-CN"/>
        </w:rPr>
        <w:t>三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 xml:space="preserve">）“卓越绩效管理”领导小组下设工作小组 </w:t>
      </w:r>
    </w:p>
    <w:p>
      <w:pPr>
        <w:widowControl/>
        <w:jc w:val="left"/>
        <w:rPr>
          <w:rFonts w:hint="default" w:eastAsia="仿宋_GB2312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组长：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王松月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综合管理部经理</w:t>
      </w:r>
    </w:p>
    <w:p>
      <w:pPr>
        <w:widowControl/>
        <w:jc w:val="left"/>
        <w:rPr>
          <w:rFonts w:hint="default"/>
          <w:lang w:val="en-US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副组长：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李长春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生产部副经理</w:t>
      </w:r>
    </w:p>
    <w:p>
      <w:pPr>
        <w:widowControl/>
        <w:jc w:val="left"/>
        <w:rPr>
          <w:rFonts w:hint="default" w:eastAsia="仿宋_GB2312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成员：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汪甜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、胡振、郭盼茹、倪艳</w:t>
      </w:r>
    </w:p>
    <w:p>
      <w:pPr>
        <w:widowControl/>
        <w:jc w:val="both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eastAsia="zh-CN"/>
        </w:rPr>
        <w:t>四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“卓越绩效管理”工作小组职责： </w:t>
      </w:r>
    </w:p>
    <w:p>
      <w:pPr>
        <w:widowControl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1．负责制定卓越绩效管理实施方案； </w:t>
      </w:r>
    </w:p>
    <w:p>
      <w:pPr>
        <w:widowControl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2．负责组织健全、完善公司卓越绩效管理体系； </w:t>
      </w:r>
    </w:p>
    <w:p>
      <w:pPr>
        <w:widowControl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3．协调推进公司及各单位卓越绩效管理活动，收集汇总卓越绩效管理素材，编制《卓越绩效管理自查报告》； </w:t>
      </w:r>
    </w:p>
    <w:p>
      <w:pPr>
        <w:widowControl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4．不断提炼在卓越绩效管理过程中富有成效的创新性管理思路和亮点，组织交流、推广卓有成效的管理方法、管理机制等。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三、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目标任务 </w:t>
      </w:r>
    </w:p>
    <w:p>
      <w:pPr>
        <w:widowControl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围绕企业“新思维、新动力、新形象”的目标，在全公司范围内树立卓越绩效管理理念，以对标管理为驱动，以文化、战略和服务为核心，不断优化资源配置，提升过程运行效率，注重持续改进，追求企业综合管理水平和创新发展能力的持续提升。 </w:t>
      </w:r>
    </w:p>
    <w:p>
      <w:pPr>
        <w:widowControl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>（一）组织学习培训，强化理论学习。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公司将进一步加大卓越绩效管理模式的推广应用，强化各级管理人员对《卓越绩效评价准则》和《卓越绩效评价准则实施指南》的系统学习。各部室、单位要结合实际，采取自学、集中学习、互相交流等形式进行全面学习，不断提高各级管理者的理论水平，为全面实施奠定坚实的基础。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综合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管理部每周五将组织各部室内审员进行学习交流活动。 </w:t>
      </w:r>
    </w:p>
    <w:p>
      <w:pPr>
        <w:widowControl/>
        <w:jc w:val="left"/>
        <w:rPr>
          <w:rFonts w:hint="eastAsia" w:eastAsia="仿宋_GB2312"/>
          <w:lang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>（二）组建自评队伍，明确责任分工。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根据《卓越绩效评价准则》的内容，公司成立了由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个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小组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组成的管理评审员小组，明确小组各成员的分工，理清工作思路和实施步骤，为全面开展卓越绩效管理工作奠定基础。 </w:t>
      </w:r>
    </w:p>
    <w:p>
      <w:pPr>
        <w:widowControl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>（三）制定自评计划，撰写自查报告。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公司将统一制定自查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计划，对工作小组进行明确分工，确定自查时间、自查内容、自查标准和自查工具等。根据卓越绩效评价方法和评分指南，对照公司实际，逐项进行定性和定量评价，确定优势、改进机会及所得分数，完成综合性的自查报告。各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</w:rPr>
        <w:t>部门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要密切配合，积极为卓越绩效管理工作小组提供材料和亮点，助力企业将自查工作做到真实、有效。 </w:t>
      </w:r>
    </w:p>
    <w:p>
      <w:pPr>
        <w:widowControl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</w:rPr>
        <w:t>（四）制定改进方案，逐项整改完善。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我公司将组织管理评审员小组召开自查工作汇报会，汇报自我评价过程和结果。专家组成员将根据公司存在的优、劣势，发现战略制定、市场定位、资源配置、过程管理、信息管理等方面的改进机会，深入讨论改进措施并形成改进方案，制定改进工作推进计划表，明确改进目标、改进措施、责任部门、责任人、完成时限和验收标准，确保改进工作取得成效。 </w:t>
      </w:r>
    </w:p>
    <w:p>
      <w:pPr>
        <w:widowControl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卓越绩效管理模式是“评价—改进—再评价—再改进”的循环提高过程，也是整合企业资源、提升企业管理水平、提高经营效益的方法和工具。各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  <w:t>厂区、部门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要进一步探索协作配合、全员参与、定期评审与持续改进，持续提升企业管理水平。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附件：1.GB/T19580-2012 卓越绩效评价准则 </w:t>
      </w:r>
    </w:p>
    <w:p>
      <w:pPr>
        <w:widowControl/>
        <w:ind w:firstLine="930" w:firstLineChars="3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 xml:space="preserve">2.GB/Z19579-2012 卓越绩效评价准则实施指南 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</w:pPr>
    </w:p>
    <w:p>
      <w:pPr>
        <w:pStyle w:val="2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bookmarkStart w:id="0" w:name="_GoBack"/>
      <w:bookmarkEnd w:id="0"/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OTdjZDcyMjczNjcyYjIzMGQyNGYxMjFmZjM2YjIifQ=="/>
  </w:docVars>
  <w:rsids>
    <w:rsidRoot w:val="476774D6"/>
    <w:rsid w:val="05EA06E6"/>
    <w:rsid w:val="117439BB"/>
    <w:rsid w:val="16322361"/>
    <w:rsid w:val="1B786608"/>
    <w:rsid w:val="1C751AA9"/>
    <w:rsid w:val="22EE7610"/>
    <w:rsid w:val="476774D6"/>
    <w:rsid w:val="4A2E2E1D"/>
    <w:rsid w:val="51F6353C"/>
    <w:rsid w:val="53E3241E"/>
    <w:rsid w:val="56A53892"/>
    <w:rsid w:val="5A9E32D5"/>
    <w:rsid w:val="5ACC1B32"/>
    <w:rsid w:val="5B834919"/>
    <w:rsid w:val="66613222"/>
    <w:rsid w:val="68D44191"/>
    <w:rsid w:val="704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1650</Words>
  <Characters>1690</Characters>
  <Lines>0</Lines>
  <Paragraphs>0</Paragraphs>
  <TotalTime>4</TotalTime>
  <ScaleCrop>false</ScaleCrop>
  <LinksUpToDate>false</LinksUpToDate>
  <CharactersWithSpaces>1754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2022-11-04T07:16:00Z</dcterms:created>
  <dc:creator>阳光</dc:creator>
  <cp:lastModifiedBy>WPS_266648015</cp:lastModifiedBy>
  <cp:lastPrinted>2023-05-14T10:37:24Z</cp:lastPrinted>
  <dcterms:modified xsi:type="dcterms:W3CDTF">2023-05-14T10:44:39Z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B0B60501F23B453D90235FCFB6975B29_13</vt:lpwstr>
  </property>
</Properties>
</file>